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31A6886E" w:rsidR="002C4C07" w:rsidRPr="00EF6393" w:rsidRDefault="002C4C07" w:rsidP="002C4C07">
      <w:pPr>
        <w:jc w:val="center"/>
        <w:rPr>
          <w:b/>
        </w:rPr>
      </w:pPr>
      <w:bookmarkStart w:id="0" w:name="_GoBack"/>
      <w:r w:rsidRPr="00EF6393">
        <w:rPr>
          <w:rFonts w:hint="eastAsia"/>
          <w:b/>
        </w:rPr>
        <w:t>富荣量化</w:t>
      </w:r>
      <w:r w:rsidR="00B6360C">
        <w:rPr>
          <w:rFonts w:hint="eastAsia"/>
          <w:b/>
        </w:rPr>
        <w:t>：</w:t>
      </w:r>
      <w:r w:rsidR="00CF7AA7">
        <w:rPr>
          <w:rFonts w:hint="eastAsia"/>
          <w:b/>
        </w:rPr>
        <w:t>反弹回落 市场区间震荡</w:t>
      </w:r>
    </w:p>
    <w:bookmarkEnd w:id="0"/>
    <w:p w14:paraId="48D7DE4C" w14:textId="77777777" w:rsidR="00EF75F8" w:rsidRDefault="00EF75F8" w:rsidP="00CA38CF">
      <w:pPr>
        <w:ind w:firstLineChars="200" w:firstLine="480"/>
      </w:pPr>
    </w:p>
    <w:p w14:paraId="04E22AA0" w14:textId="2472AF36" w:rsidR="00CF7AA7" w:rsidRDefault="00B6360C" w:rsidP="00CA38CF">
      <w:pPr>
        <w:ind w:firstLineChars="200" w:firstLine="480"/>
      </w:pPr>
      <w:r>
        <w:rPr>
          <w:rFonts w:hint="eastAsia"/>
        </w:rPr>
        <w:t>上</w:t>
      </w:r>
      <w:r w:rsidR="00EF75F8">
        <w:rPr>
          <w:rFonts w:hint="eastAsia"/>
        </w:rPr>
        <w:t>周市场</w:t>
      </w:r>
      <w:r w:rsidR="00CF7AA7">
        <w:rPr>
          <w:rFonts w:hint="eastAsia"/>
        </w:rPr>
        <w:t>分为两个阶段，市场周一探底后有持续三个交易日的小幅度反弹，然后</w:t>
      </w:r>
      <w:proofErr w:type="gramStart"/>
      <w:r w:rsidR="00CF7AA7">
        <w:rPr>
          <w:rFonts w:hint="eastAsia"/>
        </w:rPr>
        <w:t>周五全</w:t>
      </w:r>
      <w:proofErr w:type="gramEnd"/>
      <w:r w:rsidR="00CF7AA7">
        <w:rPr>
          <w:rFonts w:hint="eastAsia"/>
        </w:rPr>
        <w:t>市场出现较大跌幅</w:t>
      </w:r>
      <w:r w:rsidR="00BE7A9B">
        <w:rPr>
          <w:rFonts w:hint="eastAsia"/>
        </w:rPr>
        <w:t>，全周各</w:t>
      </w:r>
      <w:proofErr w:type="gramStart"/>
      <w:r w:rsidR="00BE7A9B">
        <w:rPr>
          <w:rFonts w:hint="eastAsia"/>
        </w:rPr>
        <w:t>大宽基指数</w:t>
      </w:r>
      <w:proofErr w:type="gramEnd"/>
      <w:r w:rsidR="00BE7A9B">
        <w:rPr>
          <w:rFonts w:hint="eastAsia"/>
        </w:rPr>
        <w:t>表现如下：</w:t>
      </w:r>
      <w:r w:rsidR="00810078">
        <w:rPr>
          <w:rFonts w:hint="eastAsia"/>
        </w:rPr>
        <w:t>上证指数下跌</w:t>
      </w:r>
      <w:r w:rsidR="00BE7A9B">
        <w:rPr>
          <w:rFonts w:hint="eastAsia"/>
        </w:rPr>
        <w:t>1.40</w:t>
      </w:r>
      <w:r w:rsidR="00810078">
        <w:rPr>
          <w:rFonts w:hint="eastAsia"/>
        </w:rPr>
        <w:t>%、上证</w:t>
      </w:r>
      <w:r w:rsidR="00BD5B9B">
        <w:rPr>
          <w:rFonts w:hint="eastAsia"/>
        </w:rPr>
        <w:t>50</w:t>
      </w:r>
      <w:proofErr w:type="gramStart"/>
      <w:r w:rsidR="00810078">
        <w:rPr>
          <w:rFonts w:hint="eastAsia"/>
        </w:rPr>
        <w:t>指数收跌</w:t>
      </w:r>
      <w:proofErr w:type="gramEnd"/>
      <w:r w:rsidR="00CF7AA7">
        <w:rPr>
          <w:rFonts w:hint="eastAsia"/>
        </w:rPr>
        <w:t>3.32</w:t>
      </w:r>
      <w:r w:rsidR="00810078">
        <w:rPr>
          <w:rFonts w:hint="eastAsia"/>
        </w:rPr>
        <w:t>%、沪深3</w:t>
      </w:r>
      <w:r w:rsidR="00810078">
        <w:t>00</w:t>
      </w:r>
      <w:proofErr w:type="gramStart"/>
      <w:r w:rsidR="00810078">
        <w:rPr>
          <w:rFonts w:hint="eastAsia"/>
        </w:rPr>
        <w:t>指数收跌</w:t>
      </w:r>
      <w:proofErr w:type="gramEnd"/>
      <w:r w:rsidR="00CF7AA7">
        <w:rPr>
          <w:rFonts w:hint="eastAsia"/>
        </w:rPr>
        <w:t>2.7</w:t>
      </w:r>
      <w:r w:rsidR="00BE7A9B">
        <w:rPr>
          <w:rFonts w:hint="eastAsia"/>
        </w:rPr>
        <w:t>1</w:t>
      </w:r>
      <w:r w:rsidR="00810078">
        <w:rPr>
          <w:rFonts w:hint="eastAsia"/>
        </w:rPr>
        <w:t>%、中证5</w:t>
      </w:r>
      <w:r w:rsidR="00810078">
        <w:t>00</w:t>
      </w:r>
      <w:r w:rsidR="00810078">
        <w:rPr>
          <w:rFonts w:hint="eastAsia"/>
        </w:rPr>
        <w:t>指数下跌</w:t>
      </w:r>
      <w:r w:rsidR="00CF7AA7">
        <w:rPr>
          <w:rFonts w:hint="eastAsia"/>
        </w:rPr>
        <w:t>0.25</w:t>
      </w:r>
      <w:r w:rsidR="00810078">
        <w:rPr>
          <w:rFonts w:hint="eastAsia"/>
        </w:rPr>
        <w:t>%、创业</w:t>
      </w:r>
      <w:proofErr w:type="gramStart"/>
      <w:r w:rsidR="00810078">
        <w:rPr>
          <w:rFonts w:hint="eastAsia"/>
        </w:rPr>
        <w:t>板指数</w:t>
      </w:r>
      <w:proofErr w:type="gramEnd"/>
      <w:r w:rsidR="00810078">
        <w:rPr>
          <w:rFonts w:hint="eastAsia"/>
        </w:rPr>
        <w:t>跌幅最大，</w:t>
      </w:r>
      <w:proofErr w:type="gramStart"/>
      <w:r w:rsidR="00810078">
        <w:rPr>
          <w:rFonts w:hint="eastAsia"/>
        </w:rPr>
        <w:t>最终收跌</w:t>
      </w:r>
      <w:proofErr w:type="gramEnd"/>
      <w:r w:rsidR="00CF7AA7">
        <w:rPr>
          <w:rFonts w:hint="eastAsia"/>
        </w:rPr>
        <w:t>3.09</w:t>
      </w:r>
      <w:r w:rsidR="00810078">
        <w:rPr>
          <w:rFonts w:hint="eastAsia"/>
        </w:rPr>
        <w:t>%</w:t>
      </w:r>
      <w:r w:rsidR="00B5310C">
        <w:rPr>
          <w:rFonts w:hint="eastAsia"/>
        </w:rPr>
        <w:t>（图1）</w:t>
      </w:r>
      <w:r w:rsidR="00810078">
        <w:rPr>
          <w:rFonts w:hint="eastAsia"/>
        </w:rPr>
        <w:t>。</w:t>
      </w:r>
      <w:r w:rsidR="00CF7AA7">
        <w:rPr>
          <w:rFonts w:hint="eastAsia"/>
        </w:rPr>
        <w:t>市场连续4周收跌，情绪不断收缩，</w:t>
      </w:r>
      <w:r w:rsidRPr="00B6360C">
        <w:rPr>
          <w:rFonts w:hint="eastAsia"/>
        </w:rPr>
        <w:t>行业方面，上周中信</w:t>
      </w:r>
      <w:proofErr w:type="gramStart"/>
      <w:r w:rsidRPr="00B6360C">
        <w:rPr>
          <w:rFonts w:hint="eastAsia"/>
        </w:rPr>
        <w:t>一级行业</w:t>
      </w:r>
      <w:proofErr w:type="gramEnd"/>
      <w:r w:rsidRPr="00B6360C">
        <w:rPr>
          <w:rFonts w:hint="eastAsia"/>
        </w:rPr>
        <w:t>分类中</w:t>
      </w:r>
      <w:r w:rsidR="00CF7AA7">
        <w:rPr>
          <w:rFonts w:hint="eastAsia"/>
        </w:rPr>
        <w:t>军工、轻工制造、纺织服装以及商贸零售表现较好，非银、电子和电器设备依然表现疲弱。</w:t>
      </w:r>
      <w:r w:rsidR="00A029EF">
        <w:rPr>
          <w:rFonts w:hint="eastAsia"/>
        </w:rPr>
        <w:t>从各方面的数据来看，我们认为未来一段时间市场大概率继续处于震荡，交易情绪有进一步收缩的可能，市场打破震荡期需要明确的外力因素，虽然没有明显的上行机会，但是年后连续调整下市场目前大跌的可能性也比较低。</w:t>
      </w:r>
    </w:p>
    <w:p w14:paraId="3C6C86F2" w14:textId="03320AAD" w:rsidR="001B6C0F" w:rsidRDefault="001B6C0F" w:rsidP="001B6C0F">
      <w:pPr>
        <w:ind w:firstLineChars="200" w:firstLine="480"/>
        <w:jc w:val="center"/>
      </w:pPr>
      <w:r>
        <w:rPr>
          <w:rFonts w:hint="eastAsia"/>
        </w:rPr>
        <w:t xml:space="preserve">图 1 </w:t>
      </w:r>
      <w:proofErr w:type="gramStart"/>
      <w:r>
        <w:rPr>
          <w:rFonts w:hint="eastAsia"/>
        </w:rPr>
        <w:t>各宽基指数和</w:t>
      </w:r>
      <w:proofErr w:type="gramEnd"/>
      <w:r>
        <w:rPr>
          <w:rFonts w:hint="eastAsia"/>
        </w:rPr>
        <w:t>行业指数表现</w:t>
      </w:r>
    </w:p>
    <w:p w14:paraId="31D03EBA" w14:textId="190E20D7" w:rsidR="001B6C0F" w:rsidRDefault="00CF7AA7" w:rsidP="001B6C0F">
      <w:pPr>
        <w:rPr>
          <w:rFonts w:hint="eastAsia"/>
        </w:rPr>
      </w:pPr>
      <w:r>
        <w:rPr>
          <w:noProof/>
        </w:rPr>
        <w:drawing>
          <wp:inline distT="0" distB="0" distL="0" distR="0" wp14:anchorId="55BB8678" wp14:editId="4D16F5D7">
            <wp:extent cx="5274310" cy="3955733"/>
            <wp:effectExtent l="0" t="0" r="2540" b="6985"/>
            <wp:docPr id="2" name="图片 2" descr="C:\Users\qiuzh\AppData\Roaming\Foxmail7\Temp-29320-20210322081645\fox(03-22-09-33-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9320-20210322081645\fox(03-22-09-33-16).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40D58F7A" w14:textId="5449A45C" w:rsidR="00B6360C" w:rsidRDefault="00B6360C" w:rsidP="00B6360C">
      <w:pPr>
        <w:ind w:firstLineChars="200" w:firstLine="480"/>
      </w:pPr>
      <w:r w:rsidRPr="00B6360C">
        <w:rPr>
          <w:rFonts w:hint="eastAsia"/>
        </w:rPr>
        <w:t>数据来源：Wind；整理：富</w:t>
      </w:r>
      <w:proofErr w:type="gramStart"/>
      <w:r w:rsidRPr="00B6360C">
        <w:rPr>
          <w:rFonts w:hint="eastAsia"/>
        </w:rPr>
        <w:t>荣基金</w:t>
      </w:r>
      <w:proofErr w:type="gramEnd"/>
      <w:r w:rsidRPr="00B6360C">
        <w:rPr>
          <w:rFonts w:hint="eastAsia"/>
        </w:rPr>
        <w:t>量化组</w:t>
      </w:r>
    </w:p>
    <w:p w14:paraId="6D857D06" w14:textId="46F4010C" w:rsidR="00E94CFB" w:rsidRDefault="00E94CFB" w:rsidP="00CA38CF">
      <w:pPr>
        <w:ind w:firstLineChars="200" w:firstLine="480"/>
      </w:pPr>
      <w:r>
        <w:rPr>
          <w:rFonts w:hint="eastAsia"/>
        </w:rPr>
        <w:t>从</w:t>
      </w:r>
      <w:r w:rsidR="00B5310C">
        <w:rPr>
          <w:rFonts w:hint="eastAsia"/>
        </w:rPr>
        <w:t>资金流动来看（图2</w:t>
      </w:r>
      <w:r w:rsidR="00D967C2">
        <w:rPr>
          <w:rFonts w:hint="eastAsia"/>
        </w:rPr>
        <w:t>），</w:t>
      </w:r>
      <w:r w:rsidR="00B6360C">
        <w:rPr>
          <w:rFonts w:hint="eastAsia"/>
        </w:rPr>
        <w:t>上</w:t>
      </w:r>
      <w:r w:rsidR="00D967C2">
        <w:rPr>
          <w:rFonts w:hint="eastAsia"/>
        </w:rPr>
        <w:t>周北向资金合计流入</w:t>
      </w:r>
      <w:r w:rsidR="00A029EF">
        <w:rPr>
          <w:rFonts w:hint="eastAsia"/>
        </w:rPr>
        <w:t>87.08</w:t>
      </w:r>
      <w:r w:rsidR="00D967C2">
        <w:rPr>
          <w:rFonts w:hint="eastAsia"/>
        </w:rPr>
        <w:t>亿，其中沪股通流人</w:t>
      </w:r>
      <w:r w:rsidR="00A029EF">
        <w:rPr>
          <w:rFonts w:hint="eastAsia"/>
        </w:rPr>
        <w:t>6.76</w:t>
      </w:r>
      <w:r w:rsidR="00B5310C">
        <w:rPr>
          <w:rFonts w:hint="eastAsia"/>
        </w:rPr>
        <w:t>亿，</w:t>
      </w:r>
      <w:r w:rsidR="00D967C2">
        <w:rPr>
          <w:rFonts w:hint="eastAsia"/>
        </w:rPr>
        <w:t>深股通流入</w:t>
      </w:r>
      <w:r w:rsidR="00A029EF">
        <w:rPr>
          <w:rFonts w:hint="eastAsia"/>
        </w:rPr>
        <w:t>80.32亿。过去一周北向资金净流入的行业主要几种在</w:t>
      </w:r>
      <w:r w:rsidR="00D967C2">
        <w:rPr>
          <w:rFonts w:hint="eastAsia"/>
        </w:rPr>
        <w:lastRenderedPageBreak/>
        <w:t>电气设备</w:t>
      </w:r>
      <w:r w:rsidR="001B6C0F">
        <w:rPr>
          <w:rFonts w:hint="eastAsia"/>
        </w:rPr>
        <w:t>、</w:t>
      </w:r>
      <w:r w:rsidR="00A029EF">
        <w:rPr>
          <w:rFonts w:hint="eastAsia"/>
        </w:rPr>
        <w:t>机械设备、医药生物以及家用电器</w:t>
      </w:r>
      <w:r w:rsidR="001B6C0F">
        <w:rPr>
          <w:rFonts w:hint="eastAsia"/>
        </w:rPr>
        <w:t>等行业，主要净流出的行业为</w:t>
      </w:r>
      <w:r w:rsidR="00A029EF">
        <w:rPr>
          <w:rFonts w:hint="eastAsia"/>
        </w:rPr>
        <w:t>食品饮料</w:t>
      </w:r>
      <w:r w:rsidR="001B6C0F">
        <w:rPr>
          <w:rFonts w:hint="eastAsia"/>
        </w:rPr>
        <w:t>、</w:t>
      </w:r>
      <w:r w:rsidR="00A029EF">
        <w:rPr>
          <w:rFonts w:hint="eastAsia"/>
        </w:rPr>
        <w:t>非银金融</w:t>
      </w:r>
      <w:r w:rsidR="001B6C0F">
        <w:rPr>
          <w:rFonts w:hint="eastAsia"/>
        </w:rPr>
        <w:t>、</w:t>
      </w:r>
      <w:r w:rsidR="00A029EF">
        <w:rPr>
          <w:rFonts w:hint="eastAsia"/>
        </w:rPr>
        <w:t>房地产</w:t>
      </w:r>
      <w:r w:rsidR="001B6C0F">
        <w:rPr>
          <w:rFonts w:hint="eastAsia"/>
        </w:rPr>
        <w:t>以及</w:t>
      </w:r>
      <w:r w:rsidR="00A029EF">
        <w:rPr>
          <w:rFonts w:hint="eastAsia"/>
        </w:rPr>
        <w:t>银行等行业。从两融资金来看，</w:t>
      </w:r>
      <w:r w:rsidR="00B6360C">
        <w:rPr>
          <w:rFonts w:hint="eastAsia"/>
        </w:rPr>
        <w:t>上周</w:t>
      </w:r>
      <w:r w:rsidR="00A029EF">
        <w:rPr>
          <w:rFonts w:hint="eastAsia"/>
        </w:rPr>
        <w:t>新增融资无明显变化</w:t>
      </w:r>
      <w:r w:rsidR="001B6C0F">
        <w:rPr>
          <w:rFonts w:hint="eastAsia"/>
        </w:rPr>
        <w:t>，市场情绪</w:t>
      </w:r>
      <w:r w:rsidR="00D967C2">
        <w:rPr>
          <w:rFonts w:hint="eastAsia"/>
        </w:rPr>
        <w:t>依然比较谨慎</w:t>
      </w:r>
      <w:r w:rsidR="001B6C0F">
        <w:rPr>
          <w:rFonts w:hint="eastAsia"/>
        </w:rPr>
        <w:t>。</w:t>
      </w:r>
    </w:p>
    <w:p w14:paraId="3F330099" w14:textId="545DB310" w:rsidR="001B6C0F" w:rsidRDefault="001B6C0F" w:rsidP="001B6C0F">
      <w:pPr>
        <w:jc w:val="center"/>
      </w:pPr>
      <w:r>
        <w:rPr>
          <w:rFonts w:hint="eastAsia"/>
        </w:rPr>
        <w:t>图 2 北向资金与新增融资</w:t>
      </w:r>
    </w:p>
    <w:p w14:paraId="29AB442E" w14:textId="5E0F601E" w:rsidR="001B6C0F" w:rsidRDefault="00A029EF" w:rsidP="001B6C0F">
      <w:pPr>
        <w:rPr>
          <w:rFonts w:hint="eastAsia"/>
        </w:rPr>
      </w:pPr>
      <w:r>
        <w:rPr>
          <w:noProof/>
        </w:rPr>
        <w:drawing>
          <wp:inline distT="0" distB="0" distL="0" distR="0" wp14:anchorId="5F6C9CCE" wp14:editId="60179C9F">
            <wp:extent cx="5257798" cy="1800225"/>
            <wp:effectExtent l="0" t="0" r="635" b="0"/>
            <wp:docPr id="3" name="图片 3" descr="C:\Users\qiuzh\AppData\Roaming\Foxmail7\Temp-29320-20210322081645\fox(03-22-08-28-3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29320-20210322081645\fox(03-22-08-28-33)(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805879"/>
                    </a:xfrm>
                    <a:prstGeom prst="rect">
                      <a:avLst/>
                    </a:prstGeom>
                    <a:noFill/>
                    <a:ln>
                      <a:noFill/>
                    </a:ln>
                  </pic:spPr>
                </pic:pic>
              </a:graphicData>
            </a:graphic>
          </wp:inline>
        </w:drawing>
      </w:r>
    </w:p>
    <w:p w14:paraId="5EB8765E" w14:textId="67F02875" w:rsidR="00B6360C" w:rsidRPr="001B6C0F" w:rsidRDefault="00B6360C" w:rsidP="00B6360C">
      <w:pPr>
        <w:ind w:firstLineChars="200" w:firstLine="480"/>
      </w:pPr>
      <w:r w:rsidRPr="00B6360C">
        <w:rPr>
          <w:rFonts w:hint="eastAsia"/>
        </w:rPr>
        <w:t>数据来源：Wind；整理：富</w:t>
      </w:r>
      <w:proofErr w:type="gramStart"/>
      <w:r w:rsidRPr="00B6360C">
        <w:rPr>
          <w:rFonts w:hint="eastAsia"/>
        </w:rPr>
        <w:t>荣基金</w:t>
      </w:r>
      <w:proofErr w:type="gramEnd"/>
      <w:r w:rsidRPr="00B6360C">
        <w:rPr>
          <w:rFonts w:hint="eastAsia"/>
        </w:rPr>
        <w:t>量化组</w:t>
      </w:r>
    </w:p>
    <w:p w14:paraId="3F633A1D" w14:textId="3E192A16" w:rsidR="00B5310C" w:rsidRDefault="001B6C0F" w:rsidP="00CA38CF">
      <w:pPr>
        <w:ind w:firstLineChars="200" w:firstLine="480"/>
      </w:pPr>
      <w:r>
        <w:rPr>
          <w:rFonts w:hint="eastAsia"/>
        </w:rPr>
        <w:t>从各</w:t>
      </w:r>
      <w:r w:rsidR="00B6360C">
        <w:rPr>
          <w:rFonts w:hint="eastAsia"/>
        </w:rPr>
        <w:t>类</w:t>
      </w:r>
      <w:r>
        <w:rPr>
          <w:rFonts w:hint="eastAsia"/>
        </w:rPr>
        <w:t>因子的表现来看，</w:t>
      </w:r>
      <w:r w:rsidR="00B6360C">
        <w:rPr>
          <w:rFonts w:hint="eastAsia"/>
        </w:rPr>
        <w:t>上</w:t>
      </w:r>
      <w:r>
        <w:rPr>
          <w:rFonts w:hint="eastAsia"/>
        </w:rPr>
        <w:t>周各类因子超额收益</w:t>
      </w:r>
      <w:r w:rsidR="00B6360C">
        <w:rPr>
          <w:rFonts w:hint="eastAsia"/>
        </w:rPr>
        <w:t>一般，市场维持小市值风格</w:t>
      </w:r>
      <w:r>
        <w:rPr>
          <w:rFonts w:hint="eastAsia"/>
        </w:rPr>
        <w:t>。从市场波动率来看，</w:t>
      </w:r>
      <w:r w:rsidR="00B5310C">
        <w:rPr>
          <w:rFonts w:hint="eastAsia"/>
        </w:rPr>
        <w:t>市场</w:t>
      </w:r>
      <w:r w:rsidR="00A029EF">
        <w:rPr>
          <w:rFonts w:hint="eastAsia"/>
        </w:rPr>
        <w:t>进入震荡期后，</w:t>
      </w:r>
      <w:r>
        <w:rPr>
          <w:rFonts w:hint="eastAsia"/>
        </w:rPr>
        <w:t>波动率</w:t>
      </w:r>
      <w:r w:rsidR="00D967C2">
        <w:rPr>
          <w:rFonts w:hint="eastAsia"/>
        </w:rPr>
        <w:t>快速下行</w:t>
      </w:r>
      <w:r w:rsidR="007F0940">
        <w:rPr>
          <w:rFonts w:hint="eastAsia"/>
        </w:rPr>
        <w:t>，</w:t>
      </w:r>
      <w:r w:rsidR="00A029EF">
        <w:rPr>
          <w:rFonts w:hint="eastAsia"/>
        </w:rPr>
        <w:t>短期风险已经</w:t>
      </w:r>
      <w:r w:rsidR="00D967C2">
        <w:rPr>
          <w:rFonts w:hint="eastAsia"/>
        </w:rPr>
        <w:t>释放</w:t>
      </w:r>
      <w:r w:rsidR="00A029EF">
        <w:rPr>
          <w:rFonts w:hint="eastAsia"/>
        </w:rPr>
        <w:t>比较充分</w:t>
      </w:r>
      <w:r>
        <w:rPr>
          <w:rFonts w:hint="eastAsia"/>
        </w:rPr>
        <w:t>。</w:t>
      </w:r>
    </w:p>
    <w:p w14:paraId="07ED4670" w14:textId="5C148804" w:rsidR="001B6C0F" w:rsidRDefault="001B6C0F" w:rsidP="001B6C0F">
      <w:pPr>
        <w:jc w:val="center"/>
      </w:pPr>
      <w:r>
        <w:rPr>
          <w:rFonts w:hint="eastAsia"/>
        </w:rPr>
        <w:t>图 3 波动率指数</w:t>
      </w:r>
    </w:p>
    <w:p w14:paraId="1AB2D680" w14:textId="15E8A49E" w:rsidR="001B6C0F" w:rsidRPr="00B5310C" w:rsidRDefault="00A029EF" w:rsidP="001B6C0F">
      <w:r>
        <w:rPr>
          <w:noProof/>
        </w:rPr>
        <w:drawing>
          <wp:inline distT="0" distB="0" distL="0" distR="0" wp14:anchorId="18FFFB65" wp14:editId="6529C51C">
            <wp:extent cx="5274310" cy="3303769"/>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303769"/>
                    </a:xfrm>
                    <a:prstGeom prst="rect">
                      <a:avLst/>
                    </a:prstGeom>
                  </pic:spPr>
                </pic:pic>
              </a:graphicData>
            </a:graphic>
          </wp:inline>
        </w:drawing>
      </w:r>
    </w:p>
    <w:p w14:paraId="15A2CD98" w14:textId="01964FF6" w:rsidR="002C4C07" w:rsidRPr="001B6C0F" w:rsidRDefault="00B6360C" w:rsidP="00B6360C">
      <w:pPr>
        <w:ind w:firstLineChars="200" w:firstLine="480"/>
      </w:pPr>
      <w:r w:rsidRPr="00B6360C">
        <w:rPr>
          <w:rFonts w:hint="eastAsia"/>
        </w:rPr>
        <w:t>数据来源：富</w:t>
      </w:r>
      <w:proofErr w:type="gramStart"/>
      <w:r w:rsidRPr="00B6360C">
        <w:rPr>
          <w:rFonts w:hint="eastAsia"/>
        </w:rPr>
        <w:t>荣基金</w:t>
      </w:r>
      <w:proofErr w:type="gramEnd"/>
      <w:r w:rsidRPr="00B6360C">
        <w:rPr>
          <w:rFonts w:hint="eastAsia"/>
        </w:rPr>
        <w:t>量化组</w:t>
      </w:r>
    </w:p>
    <w:p w14:paraId="7BE5D648" w14:textId="76DEE869" w:rsidR="008540B7" w:rsidRDefault="008540B7" w:rsidP="00B6360C">
      <w:pPr>
        <w:jc w:val="left"/>
        <w:rPr>
          <w:rFonts w:hint="eastAsia"/>
        </w:rPr>
      </w:pPr>
    </w:p>
    <w:p w14:paraId="5CCCAB71" w14:textId="30F68530" w:rsidR="00B6360C" w:rsidRDefault="00B6360C" w:rsidP="00B6360C">
      <w:pPr>
        <w:ind w:firstLineChars="200" w:firstLine="480"/>
      </w:pPr>
      <w:r w:rsidRPr="00B6360C">
        <w:rPr>
          <w:rFonts w:hint="eastAsia"/>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6360C">
        <w:rPr>
          <w:rFonts w:hint="eastAsia"/>
        </w:rPr>
        <w:t>作出</w:t>
      </w:r>
      <w:proofErr w:type="gramEnd"/>
      <w:r w:rsidRPr="00B6360C">
        <w:rPr>
          <w:rFonts w:hint="eastAsia"/>
        </w:rPr>
        <w:t>调整。2、本报告中的资料、观点和预测等仅供参考，在任何时候均不构成对任何人的个人推荐。市场有风险，投资需谨慎。</w:t>
      </w:r>
    </w:p>
    <w:sectPr w:rsidR="00B636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62041A" w14:textId="77777777" w:rsidR="004055F6" w:rsidRDefault="004055F6" w:rsidP="002C4C07">
      <w:pPr>
        <w:spacing w:line="240" w:lineRule="auto"/>
      </w:pPr>
      <w:r>
        <w:separator/>
      </w:r>
    </w:p>
  </w:endnote>
  <w:endnote w:type="continuationSeparator" w:id="0">
    <w:p w14:paraId="62AF03D0" w14:textId="77777777" w:rsidR="004055F6" w:rsidRDefault="004055F6"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2A61E0" w14:textId="77777777" w:rsidR="004055F6" w:rsidRDefault="004055F6" w:rsidP="002C4C07">
      <w:pPr>
        <w:spacing w:line="240" w:lineRule="auto"/>
      </w:pPr>
      <w:r>
        <w:separator/>
      </w:r>
    </w:p>
  </w:footnote>
  <w:footnote w:type="continuationSeparator" w:id="0">
    <w:p w14:paraId="42542B7B" w14:textId="77777777" w:rsidR="004055F6" w:rsidRDefault="004055F6"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23027"/>
    <w:rsid w:val="00035595"/>
    <w:rsid w:val="00070AA2"/>
    <w:rsid w:val="00074AEA"/>
    <w:rsid w:val="00161CBB"/>
    <w:rsid w:val="0018534E"/>
    <w:rsid w:val="001867FC"/>
    <w:rsid w:val="001B6C0F"/>
    <w:rsid w:val="001D19B6"/>
    <w:rsid w:val="001D6061"/>
    <w:rsid w:val="0020342A"/>
    <w:rsid w:val="002062DE"/>
    <w:rsid w:val="002129BA"/>
    <w:rsid w:val="002416ED"/>
    <w:rsid w:val="002563D9"/>
    <w:rsid w:val="002A093A"/>
    <w:rsid w:val="002B15CF"/>
    <w:rsid w:val="002C4C07"/>
    <w:rsid w:val="002C7EF7"/>
    <w:rsid w:val="002E17CD"/>
    <w:rsid w:val="00374124"/>
    <w:rsid w:val="00386DFB"/>
    <w:rsid w:val="003B1CAC"/>
    <w:rsid w:val="003D637F"/>
    <w:rsid w:val="003F6050"/>
    <w:rsid w:val="004055F6"/>
    <w:rsid w:val="004157F5"/>
    <w:rsid w:val="00444648"/>
    <w:rsid w:val="00454A3A"/>
    <w:rsid w:val="004E3614"/>
    <w:rsid w:val="00525A53"/>
    <w:rsid w:val="00531B02"/>
    <w:rsid w:val="005A2D48"/>
    <w:rsid w:val="005C4905"/>
    <w:rsid w:val="006965D2"/>
    <w:rsid w:val="006B1D85"/>
    <w:rsid w:val="006C7CF6"/>
    <w:rsid w:val="006E639C"/>
    <w:rsid w:val="0073379B"/>
    <w:rsid w:val="00747B9D"/>
    <w:rsid w:val="007528BE"/>
    <w:rsid w:val="00756EC7"/>
    <w:rsid w:val="007D5907"/>
    <w:rsid w:val="007D7875"/>
    <w:rsid w:val="007F0940"/>
    <w:rsid w:val="007F6A29"/>
    <w:rsid w:val="00810078"/>
    <w:rsid w:val="00830122"/>
    <w:rsid w:val="00830C71"/>
    <w:rsid w:val="008540B7"/>
    <w:rsid w:val="008916E0"/>
    <w:rsid w:val="00893C6A"/>
    <w:rsid w:val="008A74C1"/>
    <w:rsid w:val="008B1754"/>
    <w:rsid w:val="008B27E8"/>
    <w:rsid w:val="008B4D1A"/>
    <w:rsid w:val="008D03D4"/>
    <w:rsid w:val="008F4613"/>
    <w:rsid w:val="008F60FD"/>
    <w:rsid w:val="00907C93"/>
    <w:rsid w:val="00987C63"/>
    <w:rsid w:val="009953B9"/>
    <w:rsid w:val="009D02A8"/>
    <w:rsid w:val="00A029EF"/>
    <w:rsid w:val="00A07990"/>
    <w:rsid w:val="00A51293"/>
    <w:rsid w:val="00A61347"/>
    <w:rsid w:val="00A842A3"/>
    <w:rsid w:val="00A90927"/>
    <w:rsid w:val="00B14C31"/>
    <w:rsid w:val="00B5310C"/>
    <w:rsid w:val="00B6360C"/>
    <w:rsid w:val="00B82632"/>
    <w:rsid w:val="00B87681"/>
    <w:rsid w:val="00B91093"/>
    <w:rsid w:val="00BA3587"/>
    <w:rsid w:val="00BA72C2"/>
    <w:rsid w:val="00BC61FC"/>
    <w:rsid w:val="00BD5B9B"/>
    <w:rsid w:val="00BD6BA1"/>
    <w:rsid w:val="00BE7A9B"/>
    <w:rsid w:val="00C24E54"/>
    <w:rsid w:val="00C53CF8"/>
    <w:rsid w:val="00CA38CF"/>
    <w:rsid w:val="00CD5494"/>
    <w:rsid w:val="00CD673E"/>
    <w:rsid w:val="00CF7AA7"/>
    <w:rsid w:val="00D055BF"/>
    <w:rsid w:val="00D058C0"/>
    <w:rsid w:val="00D46833"/>
    <w:rsid w:val="00D5035A"/>
    <w:rsid w:val="00D967C2"/>
    <w:rsid w:val="00DD21CB"/>
    <w:rsid w:val="00DD26E5"/>
    <w:rsid w:val="00DD2E6A"/>
    <w:rsid w:val="00DD6213"/>
    <w:rsid w:val="00DE52B5"/>
    <w:rsid w:val="00DF6F9A"/>
    <w:rsid w:val="00E23413"/>
    <w:rsid w:val="00E41CAC"/>
    <w:rsid w:val="00E619FD"/>
    <w:rsid w:val="00E86C8A"/>
    <w:rsid w:val="00E87750"/>
    <w:rsid w:val="00E94CFB"/>
    <w:rsid w:val="00EA7100"/>
    <w:rsid w:val="00EB7D3C"/>
    <w:rsid w:val="00EF2A7A"/>
    <w:rsid w:val="00EF75F8"/>
    <w:rsid w:val="00F1138A"/>
    <w:rsid w:val="00F13186"/>
    <w:rsid w:val="00F64709"/>
    <w:rsid w:val="00F86178"/>
    <w:rsid w:val="00FA2748"/>
    <w:rsid w:val="00FB18F7"/>
    <w:rsid w:val="00FC5D34"/>
    <w:rsid w:val="00FD6898"/>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127</Words>
  <Characters>725</Characters>
  <Application>Microsoft Office Word</Application>
  <DocSecurity>0</DocSecurity>
  <Lines>6</Lines>
  <Paragraphs>1</Paragraphs>
  <ScaleCrop>false</ScaleCrop>
  <Company>微软中国</Company>
  <LinksUpToDate>false</LinksUpToDate>
  <CharactersWithSpaces>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2</cp:revision>
  <dcterms:created xsi:type="dcterms:W3CDTF">2021-03-22T02:10:00Z</dcterms:created>
  <dcterms:modified xsi:type="dcterms:W3CDTF">2021-03-22T02:10:00Z</dcterms:modified>
</cp:coreProperties>
</file>